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28BAA470"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9D0BF3">
        <w:rPr>
          <w:rFonts w:ascii="Arial" w:eastAsia="等线" w:hAnsi="Arial"/>
          <w:b/>
          <w:noProof/>
          <w:sz w:val="24"/>
          <w:szCs w:val="21"/>
        </w:rPr>
        <w:t>8</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B2273A" w:rsidRPr="00B2273A">
        <w:rPr>
          <w:rFonts w:ascii="Arial" w:eastAsia="等线" w:hAnsi="Arial"/>
          <w:b/>
          <w:noProof/>
          <w:sz w:val="24"/>
          <w:szCs w:val="21"/>
        </w:rPr>
        <w:t>R2-2409539</w:t>
      </w:r>
    </w:p>
    <w:p w14:paraId="5824FFEA" w14:textId="351A8A54" w:rsidR="00F85139" w:rsidRPr="002D024B" w:rsidRDefault="009D0BF3" w:rsidP="00FD5B3E">
      <w:pPr>
        <w:tabs>
          <w:tab w:val="left" w:pos="1985"/>
          <w:tab w:val="left" w:pos="8931"/>
        </w:tabs>
        <w:adjustRightInd w:val="0"/>
        <w:snapToGrid w:val="0"/>
        <w:spacing w:after="0" w:line="240" w:lineRule="auto"/>
        <w:rPr>
          <w:rFonts w:ascii="Arial" w:eastAsia="等线" w:hAnsi="Arial"/>
          <w:b/>
          <w:sz w:val="24"/>
          <w:szCs w:val="21"/>
        </w:rPr>
      </w:pPr>
      <w:r w:rsidRPr="009D0BF3">
        <w:rPr>
          <w:rFonts w:ascii="Arial" w:eastAsia="等线" w:hAnsi="Arial"/>
          <w:b/>
          <w:sz w:val="24"/>
          <w:szCs w:val="21"/>
        </w:rPr>
        <w:t>Orlando, USA, November 18</w:t>
      </w:r>
      <w:r w:rsidRPr="009D0BF3">
        <w:rPr>
          <w:rFonts w:ascii="Arial" w:eastAsia="等线" w:hAnsi="Arial"/>
          <w:b/>
          <w:sz w:val="24"/>
          <w:szCs w:val="21"/>
          <w:vertAlign w:val="superscript"/>
        </w:rPr>
        <w:t>th</w:t>
      </w:r>
      <w:r w:rsidRPr="009D0BF3">
        <w:rPr>
          <w:rFonts w:ascii="Arial" w:eastAsia="等线" w:hAnsi="Arial"/>
          <w:b/>
          <w:sz w:val="24"/>
          <w:szCs w:val="21"/>
        </w:rPr>
        <w:t>– 22</w:t>
      </w:r>
      <w:r w:rsidRPr="009D0BF3">
        <w:rPr>
          <w:rFonts w:ascii="Arial" w:eastAsia="等线" w:hAnsi="Arial"/>
          <w:b/>
          <w:sz w:val="24"/>
          <w:szCs w:val="21"/>
          <w:vertAlign w:val="superscript"/>
        </w:rPr>
        <w:t>nd</w:t>
      </w:r>
      <w:r w:rsidRPr="009D0BF3">
        <w:rPr>
          <w:rFonts w:ascii="Arial" w:eastAsia="等线" w:hAnsi="Arial"/>
          <w:b/>
          <w:sz w:val="24"/>
          <w:szCs w:val="21"/>
        </w:rPr>
        <w:t xml:space="preserve">, 2024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718B070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8.8.6</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344ECEA"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9D0BF3" w:rsidRPr="009D0BF3">
        <w:rPr>
          <w:rFonts w:ascii="Arial" w:hAnsi="Arial" w:cs="Arial"/>
          <w:b/>
          <w:bCs/>
          <w:sz w:val="24"/>
          <w:szCs w:val="24"/>
          <w:lang w:val="en-US"/>
        </w:rPr>
        <w:t>Discussion on Redirection from E-UTRA TN to NR-NTN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3A865A0B"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w:t>
      </w:r>
      <w:r w:rsidR="002A7A7A">
        <w:rPr>
          <w:rStyle w:val="IvDbodytextChar"/>
          <w:rFonts w:ascii="Times New Roman" w:hAnsi="Times New Roman" w:cs="Times New Roman"/>
          <w:sz w:val="20"/>
          <w:szCs w:val="20"/>
          <w:lang w:eastAsia="zh-CN"/>
        </w:rPr>
        <w:t>the LTE TN to NR NTN idle mobility discussion in 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173B5A">
        <w:rPr>
          <w:rStyle w:val="IvDbodytextChar"/>
          <w:rFonts w:ascii="Times New Roman" w:hAnsi="Times New Roman" w:cs="Times New Roman"/>
          <w:sz w:val="20"/>
          <w:szCs w:val="20"/>
          <w:lang w:eastAsia="zh-CN"/>
        </w:rPr>
        <w:t>7bis</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020664">
        <w:rPr>
          <w:rStyle w:val="IvDbodytextChar"/>
          <w:rFonts w:ascii="Times New Roman" w:hAnsi="Times New Roman" w:cs="Times New Roman"/>
          <w:sz w:val="20"/>
          <w:szCs w:val="20"/>
          <w:lang w:eastAsia="zh-CN"/>
        </w:rPr>
        <w:t xml:space="preserve">whether to support the redirection from LTE TN to NR NTN was discussed. However, </w:t>
      </w:r>
      <w:r w:rsidR="0017342D">
        <w:rPr>
          <w:rStyle w:val="IvDbodytextChar"/>
          <w:rFonts w:ascii="Times New Roman" w:hAnsi="Times New Roman" w:cs="Times New Roman"/>
          <w:sz w:val="20"/>
          <w:szCs w:val="20"/>
          <w:lang w:eastAsia="zh-CN"/>
        </w:rPr>
        <w:t xml:space="preserve">due to </w:t>
      </w:r>
      <w:r w:rsidR="00446DDF">
        <w:rPr>
          <w:rStyle w:val="IvDbodytextChar"/>
          <w:rFonts w:ascii="Times New Roman" w:hAnsi="Times New Roman" w:cs="Times New Roman"/>
          <w:sz w:val="20"/>
          <w:szCs w:val="20"/>
          <w:lang w:eastAsia="zh-CN"/>
        </w:rPr>
        <w:t>some</w:t>
      </w:r>
      <w:r w:rsidR="0017342D">
        <w:rPr>
          <w:rStyle w:val="IvDbodytextChar"/>
          <w:rFonts w:ascii="Times New Roman" w:hAnsi="Times New Roman" w:cs="Times New Roman"/>
          <w:sz w:val="20"/>
          <w:szCs w:val="20"/>
          <w:lang w:eastAsia="zh-CN"/>
        </w:rPr>
        <w:t xml:space="preserve"> </w:t>
      </w:r>
      <w:r w:rsidR="0017342D" w:rsidRPr="0017342D">
        <w:rPr>
          <w:rStyle w:val="IvDbodytextChar"/>
          <w:rFonts w:ascii="Times New Roman" w:hAnsi="Times New Roman" w:cs="Times New Roman"/>
          <w:sz w:val="20"/>
          <w:szCs w:val="20"/>
          <w:lang w:eastAsia="zh-CN"/>
        </w:rPr>
        <w:t>controversy</w:t>
      </w:r>
      <w:r w:rsidR="0017342D">
        <w:rPr>
          <w:rStyle w:val="IvDbodytextChar"/>
          <w:rFonts w:ascii="Times New Roman" w:hAnsi="Times New Roman" w:cs="Times New Roman"/>
          <w:sz w:val="20"/>
          <w:szCs w:val="20"/>
          <w:lang w:eastAsia="zh-CN"/>
        </w:rPr>
        <w:t>, the issue w</w:t>
      </w:r>
      <w:r w:rsidR="0090662A">
        <w:rPr>
          <w:rStyle w:val="IvDbodytextChar"/>
          <w:rFonts w:ascii="Times New Roman" w:hAnsi="Times New Roman" w:cs="Times New Roman"/>
          <w:sz w:val="20"/>
          <w:szCs w:val="20"/>
          <w:lang w:eastAsia="zh-CN"/>
        </w:rPr>
        <w:t>as</w:t>
      </w:r>
      <w:r w:rsidR="0017342D">
        <w:rPr>
          <w:rStyle w:val="IvDbodytextChar"/>
          <w:rFonts w:ascii="Times New Roman" w:hAnsi="Times New Roman" w:cs="Times New Roman"/>
          <w:sz w:val="20"/>
          <w:szCs w:val="20"/>
          <w:lang w:eastAsia="zh-CN"/>
        </w:rPr>
        <w:t xml:space="preserve"> postponed.</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5046585B" w14:textId="77777777" w:rsidR="0017342D" w:rsidRPr="0017342D" w:rsidRDefault="0017342D" w:rsidP="0017342D">
            <w:pPr>
              <w:spacing w:before="40" w:after="0" w:line="240" w:lineRule="auto"/>
              <w:rPr>
                <w:rFonts w:eastAsia="MS Mincho"/>
                <w:i/>
                <w:lang w:eastAsia="en-GB"/>
              </w:rPr>
            </w:pPr>
            <w:r w:rsidRPr="0017342D">
              <w:rPr>
                <w:rFonts w:eastAsia="MS Mincho"/>
                <w:i/>
                <w:lang w:eastAsia="en-GB"/>
              </w:rPr>
              <w:t>Proposal 3: RAN2 confirms the understanding that dedicated NR NTN frequency is not configured in the RRCConnectionRelease message, and confirms that this can be left to NW implementation (w/o Spec impact).</w:t>
            </w:r>
          </w:p>
          <w:p w14:paraId="35B86F5B"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QC is ok with this but thinks it’s fine to clarify this somewhere</w:t>
            </w:r>
          </w:p>
          <w:p w14:paraId="7F94B6CB"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 xml:space="preserve">Samsung thinks we should separate the case of providing dedicated frequencies from the redirection case. Xiaomi agrees, redirection could be performed providing assistance information in the release message. LG shares similar view as Samsung but thinks the NW does not need to provide assistance info </w:t>
            </w:r>
          </w:p>
          <w:p w14:paraId="0735878E"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China Telecom thinks satellite information would be needed to support redirection to NR NTN</w:t>
            </w:r>
          </w:p>
          <w:p w14:paraId="2B9E052A" w14:textId="77777777" w:rsidR="0017342D" w:rsidRPr="0017342D" w:rsidRDefault="0017342D" w:rsidP="0017342D">
            <w:pPr>
              <w:tabs>
                <w:tab w:val="left" w:pos="1622"/>
              </w:tabs>
              <w:spacing w:after="0" w:line="240" w:lineRule="auto"/>
              <w:ind w:left="1622" w:hanging="363"/>
              <w:rPr>
                <w:rFonts w:eastAsia="MS Mincho"/>
                <w:lang w:eastAsia="en-GB"/>
              </w:rPr>
            </w:pPr>
            <w:r w:rsidRPr="0017342D">
              <w:rPr>
                <w:rFonts w:eastAsia="MS Mincho"/>
                <w:lang w:eastAsia="en-GB"/>
              </w:rPr>
              <w:t>-</w:t>
            </w:r>
            <w:r w:rsidRPr="0017342D">
              <w:rPr>
                <w:rFonts w:eastAsia="MS Mincho"/>
                <w:lang w:eastAsia="en-GB"/>
              </w:rPr>
              <w:tab/>
              <w:t>QC thinks that either we go for proposal 3 or we need to introduce a UE capability for this.</w:t>
            </w:r>
          </w:p>
          <w:p w14:paraId="2976E893" w14:textId="4B3D9955" w:rsidR="0017342D" w:rsidRPr="0017342D" w:rsidRDefault="0017342D" w:rsidP="0017342D">
            <w:pPr>
              <w:tabs>
                <w:tab w:val="left" w:pos="1619"/>
              </w:tabs>
              <w:spacing w:before="60" w:after="0" w:line="240" w:lineRule="auto"/>
              <w:ind w:left="1619" w:hanging="360"/>
              <w:rPr>
                <w:rStyle w:val="IvDbodytextChar"/>
                <w:rFonts w:eastAsia="MS Mincho" w:cs="Times New Roman"/>
                <w:b/>
                <w:spacing w:val="0"/>
                <w:kern w:val="0"/>
                <w:sz w:val="20"/>
                <w:szCs w:val="24"/>
                <w:lang w:eastAsia="en-GB"/>
              </w:rPr>
            </w:pPr>
            <w:r w:rsidRPr="0017342D">
              <w:rPr>
                <w:rFonts w:eastAsia="MS Mincho"/>
                <w:b/>
                <w:lang w:eastAsia="en-GB"/>
              </w:rPr>
              <w:t>Come back in the next meeting</w:t>
            </w:r>
          </w:p>
        </w:tc>
      </w:tr>
    </w:tbl>
    <w:p w14:paraId="767947EB" w14:textId="2B976132" w:rsidR="0022503C" w:rsidRPr="00B2458E" w:rsidRDefault="00173B5A" w:rsidP="00B2458E">
      <w:pPr>
        <w:spacing w:before="120" w:after="120" w:line="240" w:lineRule="auto"/>
        <w:jc w:val="both"/>
      </w:pPr>
      <w:r>
        <w:rPr>
          <w:rStyle w:val="IvDbodytextChar"/>
          <w:rFonts w:ascii="Times New Roman" w:hAnsi="Times New Roman" w:cs="Times New Roman"/>
          <w:sz w:val="20"/>
          <w:szCs w:val="20"/>
          <w:lang w:eastAsia="zh-CN"/>
        </w:rPr>
        <w:t xml:space="preserve"> </w:t>
      </w:r>
      <w:r w:rsidR="00D139B4" w:rsidRPr="00B2458E">
        <w:t xml:space="preserve">In the contribution, we </w:t>
      </w:r>
      <w:r w:rsidR="001453F8">
        <w:t xml:space="preserve">will </w:t>
      </w:r>
      <w:r w:rsidR="00446DDF">
        <w:t>analy</w:t>
      </w:r>
      <w:r w:rsidR="001158D1">
        <w:t>z</w:t>
      </w:r>
      <w:r w:rsidR="00446DDF">
        <w:t>e</w:t>
      </w:r>
      <w:r w:rsidR="005473D0">
        <w:t xml:space="preserve"> the issue and give our view</w:t>
      </w:r>
      <w:r w:rsidR="00D139B4"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045D551F" w14:textId="6E931B40" w:rsidR="00762B4C" w:rsidRDefault="00C82AB8" w:rsidP="00F74E1B">
      <w:pPr>
        <w:spacing w:after="120" w:line="240" w:lineRule="auto"/>
        <w:jc w:val="both"/>
      </w:pPr>
      <w:r>
        <w:t xml:space="preserve">According to </w:t>
      </w:r>
      <w:r w:rsidR="00EE3C9E">
        <w:t xml:space="preserve">TS </w:t>
      </w:r>
      <w:r>
        <w:t>36.331 [</w:t>
      </w:r>
      <w:r w:rsidR="00B66B2E">
        <w:t>2</w:t>
      </w:r>
      <w:r w:rsidR="005814A2">
        <w:t>]</w:t>
      </w:r>
      <w:r>
        <w:t>, the NR frequency can be configured by NW in the RRCConnectionRelease message [3], and there is no restriction on whether the NR frequency is for TN or NTN.</w:t>
      </w:r>
      <w:r w:rsidR="00B66B2E">
        <w:t xml:space="preserve"> </w:t>
      </w:r>
    </w:p>
    <w:tbl>
      <w:tblPr>
        <w:tblStyle w:val="af3"/>
        <w:tblW w:w="0" w:type="auto"/>
        <w:tblLook w:val="04A0" w:firstRow="1" w:lastRow="0" w:firstColumn="1" w:lastColumn="0" w:noHBand="0" w:noVBand="1"/>
      </w:tblPr>
      <w:tblGrid>
        <w:gridCol w:w="9629"/>
      </w:tblGrid>
      <w:tr w:rsidR="00762B4C" w14:paraId="29D50E48" w14:textId="77777777" w:rsidTr="00553AE1">
        <w:tc>
          <w:tcPr>
            <w:tcW w:w="9629" w:type="dxa"/>
          </w:tcPr>
          <w:p w14:paraId="44C82B3C"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RedirectedCarrierInfo ::=</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CHOICE {</w:t>
            </w:r>
          </w:p>
          <w:p w14:paraId="4E2F815A"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eutra</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ARFCN-ValueEUTRA,</w:t>
            </w:r>
          </w:p>
          <w:p w14:paraId="0F822A65"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geran</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CarrierFreqsGERAN,</w:t>
            </w:r>
          </w:p>
          <w:p w14:paraId="0FA13039"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utra-FDD</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ARFCN-ValueUTRA,</w:t>
            </w:r>
          </w:p>
          <w:p w14:paraId="35C3B1C8"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utra-TDD</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ARFCN-ValueUTRA,</w:t>
            </w:r>
          </w:p>
          <w:p w14:paraId="2F880C8A"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cdma2000-HRPD</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CarrierFreqCDMA2000,</w:t>
            </w:r>
          </w:p>
          <w:p w14:paraId="1155DD88"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cdma2000-1xRTT</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CarrierFreqCDMA2000,</w:t>
            </w:r>
          </w:p>
          <w:p w14:paraId="26206441"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w:t>
            </w:r>
          </w:p>
          <w:p w14:paraId="43B2CDC8"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t>utra-TDD-r10</w:t>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r>
            <w:r w:rsidRPr="00855AFC">
              <w:rPr>
                <w:rFonts w:ascii="Courier New" w:eastAsia="Times New Roman" w:hAnsi="Courier New"/>
                <w:noProof/>
                <w:sz w:val="16"/>
                <w:lang w:eastAsia="ja-JP"/>
              </w:rPr>
              <w:tab/>
              <w:t>CarrierFreqListUTRA-TDD-r10,</w:t>
            </w:r>
          </w:p>
          <w:p w14:paraId="3D8D4607"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highlight w:val="yellow"/>
                <w:lang w:eastAsia="ja-JP"/>
              </w:rPr>
            </w:pPr>
            <w:r w:rsidRPr="00855AFC">
              <w:rPr>
                <w:rFonts w:ascii="Courier New" w:eastAsia="Times New Roman" w:hAnsi="Courier New"/>
                <w:noProof/>
                <w:sz w:val="16"/>
                <w:lang w:eastAsia="ja-JP"/>
              </w:rPr>
              <w:tab/>
            </w:r>
            <w:r w:rsidRPr="00855AFC">
              <w:rPr>
                <w:rFonts w:ascii="Courier New" w:eastAsia="Times New Roman" w:hAnsi="Courier New"/>
                <w:noProof/>
                <w:sz w:val="16"/>
                <w:highlight w:val="yellow"/>
                <w:lang w:eastAsia="ja-JP"/>
              </w:rPr>
              <w:t>nr-r15</w:t>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t>CarrierInfoNR-r15,</w:t>
            </w:r>
          </w:p>
          <w:p w14:paraId="6FC4423F"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ab/>
            </w:r>
            <w:r w:rsidRPr="00855AFC">
              <w:rPr>
                <w:rFonts w:ascii="Courier New" w:eastAsia="Times New Roman" w:hAnsi="Courier New"/>
                <w:noProof/>
                <w:sz w:val="16"/>
                <w:highlight w:val="yellow"/>
                <w:lang w:eastAsia="ja-JP"/>
              </w:rPr>
              <w:t>nr-r17</w:t>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r>
            <w:r w:rsidRPr="00855AFC">
              <w:rPr>
                <w:rFonts w:ascii="Courier New" w:eastAsia="Times New Roman" w:hAnsi="Courier New"/>
                <w:noProof/>
                <w:sz w:val="16"/>
                <w:highlight w:val="yellow"/>
                <w:lang w:eastAsia="ja-JP"/>
              </w:rPr>
              <w:tab/>
              <w:t>CarrierInfoNR-r17</w:t>
            </w:r>
          </w:p>
          <w:p w14:paraId="572E6492" w14:textId="77777777" w:rsidR="00762B4C" w:rsidRPr="00855AFC" w:rsidRDefault="00762B4C" w:rsidP="0055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55AFC">
              <w:rPr>
                <w:rFonts w:ascii="Courier New" w:eastAsia="Times New Roman" w:hAnsi="Courier New"/>
                <w:noProof/>
                <w:sz w:val="16"/>
                <w:lang w:eastAsia="ja-JP"/>
              </w:rPr>
              <w:t>}</w:t>
            </w:r>
          </w:p>
        </w:tc>
      </w:tr>
    </w:tbl>
    <w:p w14:paraId="5CA7A48C" w14:textId="097AEBE2" w:rsidR="00C82AB8" w:rsidRDefault="00B66B2E" w:rsidP="00EB37B9">
      <w:pPr>
        <w:spacing w:before="120" w:after="120" w:line="240" w:lineRule="auto"/>
        <w:jc w:val="both"/>
      </w:pPr>
      <w:r>
        <w:t xml:space="preserve">Besides, even </w:t>
      </w:r>
      <w:bookmarkStart w:id="1" w:name="_GoBack"/>
      <w:bookmarkEnd w:id="1"/>
      <w:r w:rsidR="00C177A3">
        <w:t xml:space="preserve">if </w:t>
      </w:r>
      <w:r>
        <w:t>no satellite assistance information</w:t>
      </w:r>
      <w:r w:rsidR="00CD632C">
        <w:t xml:space="preserve"> is provided</w:t>
      </w:r>
      <w:r>
        <w:t xml:space="preserve">, UE can also perform </w:t>
      </w:r>
      <w:r w:rsidR="005814A2">
        <w:t xml:space="preserve">cell selection and try to camp on the NTN cell if </w:t>
      </w:r>
      <w:r w:rsidR="00830EFD">
        <w:t xml:space="preserve">the </w:t>
      </w:r>
      <w:r w:rsidR="005814A2">
        <w:t xml:space="preserve">frequency indicated by NW is for NTN. </w:t>
      </w:r>
      <w:r w:rsidR="003B50DC">
        <w:t>So from this pe</w:t>
      </w:r>
      <w:r w:rsidR="00CD632C">
        <w:t>r</w:t>
      </w:r>
      <w:r w:rsidR="003B50DC">
        <w:t>spective, the redirection from LTE TN to NR NTN is feasible.</w:t>
      </w:r>
    </w:p>
    <w:p w14:paraId="7BE4FEE3" w14:textId="32BBC69D" w:rsidR="003B50DC" w:rsidRDefault="003B50DC" w:rsidP="003B50DC">
      <w:pPr>
        <w:spacing w:after="120" w:line="240" w:lineRule="auto"/>
        <w:jc w:val="both"/>
        <w:rPr>
          <w:b/>
          <w:bCs/>
        </w:rPr>
      </w:pPr>
      <w:r w:rsidRPr="00855AFC">
        <w:rPr>
          <w:b/>
          <w:bCs/>
        </w:rPr>
        <w:t xml:space="preserve">Observation 1: </w:t>
      </w:r>
      <w:r w:rsidR="00762B4C">
        <w:rPr>
          <w:b/>
          <w:bCs/>
        </w:rPr>
        <w:t xml:space="preserve">Up to implementation, </w:t>
      </w:r>
      <w:r>
        <w:rPr>
          <w:b/>
          <w:bCs/>
        </w:rPr>
        <w:t>NW to configure the NTN frequency within the redirection information within the RRCCon</w:t>
      </w:r>
      <w:r w:rsidR="00762B4C">
        <w:rPr>
          <w:b/>
          <w:bCs/>
        </w:rPr>
        <w:t>n</w:t>
      </w:r>
      <w:r>
        <w:rPr>
          <w:b/>
          <w:bCs/>
        </w:rPr>
        <w:t>ectionRelease message</w:t>
      </w:r>
      <w:r w:rsidR="00762B4C">
        <w:rPr>
          <w:b/>
          <w:bCs/>
        </w:rPr>
        <w:t>.</w:t>
      </w:r>
    </w:p>
    <w:p w14:paraId="68BF371F" w14:textId="7119B2C1" w:rsidR="004B0664" w:rsidRPr="00855AFC" w:rsidRDefault="004B0664" w:rsidP="009A2386">
      <w:pPr>
        <w:spacing w:after="240" w:line="240" w:lineRule="auto"/>
        <w:jc w:val="both"/>
        <w:rPr>
          <w:b/>
          <w:bCs/>
        </w:rPr>
      </w:pPr>
      <w:r>
        <w:rPr>
          <w:b/>
          <w:bCs/>
        </w:rPr>
        <w:t xml:space="preserve">Proposal 1: According to the current spec, redirection from LTE TN to NR NTN is feasible. </w:t>
      </w:r>
    </w:p>
    <w:p w14:paraId="26D652ED" w14:textId="6FDA35AB" w:rsidR="005473D0" w:rsidRDefault="00762B4C" w:rsidP="00F74E1B">
      <w:pPr>
        <w:spacing w:after="120" w:line="240" w:lineRule="auto"/>
        <w:jc w:val="both"/>
      </w:pPr>
      <w:r>
        <w:t xml:space="preserve">According to the WID </w:t>
      </w:r>
      <w:r w:rsidR="00972021">
        <w:t>of the LTE TN to NR NTN mobility</w:t>
      </w:r>
      <w:r w:rsidR="001C5B2B">
        <w:t xml:space="preserve"> [</w:t>
      </w:r>
      <w:r>
        <w:t>3</w:t>
      </w:r>
      <w:r w:rsidR="001C5B2B">
        <w:t>]</w:t>
      </w:r>
      <w:r w:rsidR="00972021">
        <w:t xml:space="preserve">, from which it can seen only the </w:t>
      </w:r>
      <w:r w:rsidR="00591F0A">
        <w:t xml:space="preserve">enhancement on </w:t>
      </w:r>
      <w:r w:rsidR="00972021">
        <w:t xml:space="preserve">cell reselection in RRC IDLE state is included. </w:t>
      </w:r>
      <w:r w:rsidR="00591F0A">
        <w:t xml:space="preserve">No further enhancement on redirection from LTE TN to NR NTN is required to be supported. </w:t>
      </w:r>
    </w:p>
    <w:tbl>
      <w:tblPr>
        <w:tblStyle w:val="af3"/>
        <w:tblW w:w="0" w:type="auto"/>
        <w:tblLook w:val="04A0" w:firstRow="1" w:lastRow="0" w:firstColumn="1" w:lastColumn="0" w:noHBand="0" w:noVBand="1"/>
      </w:tblPr>
      <w:tblGrid>
        <w:gridCol w:w="9629"/>
      </w:tblGrid>
      <w:tr w:rsidR="00972021" w14:paraId="20A1C75D" w14:textId="77777777" w:rsidTr="00972021">
        <w:tc>
          <w:tcPr>
            <w:tcW w:w="9629" w:type="dxa"/>
          </w:tcPr>
          <w:p w14:paraId="405A6CDE" w14:textId="77777777" w:rsidR="00855AFC" w:rsidRPr="00855AFC" w:rsidRDefault="00855AFC" w:rsidP="00855AFC">
            <w:pPr>
              <w:overflowPunct w:val="0"/>
              <w:autoSpaceDE w:val="0"/>
              <w:autoSpaceDN w:val="0"/>
              <w:adjustRightInd w:val="0"/>
              <w:spacing w:after="0" w:line="276" w:lineRule="auto"/>
              <w:textAlignment w:val="baseline"/>
              <w:rPr>
                <w:rFonts w:eastAsia="宋体"/>
                <w:bCs/>
                <w:lang w:eastAsia="en-GB"/>
              </w:rPr>
            </w:pPr>
            <w:r w:rsidRPr="00855AFC">
              <w:rPr>
                <w:rFonts w:eastAsia="宋体"/>
                <w:bCs/>
                <w:lang w:eastAsia="en-GB"/>
              </w:rPr>
              <w:t>The</w:t>
            </w:r>
            <w:r w:rsidRPr="00855AFC">
              <w:rPr>
                <w:rFonts w:eastAsia="宋体" w:hint="eastAsia"/>
                <w:bCs/>
                <w:lang w:eastAsia="en-GB"/>
              </w:rPr>
              <w:t xml:space="preserve"> </w:t>
            </w:r>
            <w:r w:rsidRPr="00855AFC">
              <w:rPr>
                <w:rFonts w:eastAsia="宋体" w:hint="eastAsia"/>
                <w:bCs/>
                <w:lang w:eastAsia="zh-CN"/>
              </w:rPr>
              <w:t xml:space="preserve">work item aims </w:t>
            </w:r>
            <w:r w:rsidRPr="00855AFC">
              <w:rPr>
                <w:rFonts w:eastAsia="宋体"/>
                <w:bCs/>
                <w:lang w:eastAsia="zh-CN"/>
              </w:rPr>
              <w:t>at</w:t>
            </w:r>
            <w:r w:rsidRPr="00855AFC">
              <w:rPr>
                <w:rFonts w:eastAsia="宋体" w:hint="eastAsia"/>
                <w:bCs/>
                <w:lang w:eastAsia="zh-CN"/>
              </w:rPr>
              <w:t xml:space="preserve"> </w:t>
            </w:r>
            <w:r w:rsidRPr="00855AFC">
              <w:rPr>
                <w:rFonts w:eastAsia="宋体"/>
                <w:bCs/>
                <w:lang w:eastAsia="zh-CN"/>
              </w:rPr>
              <w:t xml:space="preserve">specifying </w:t>
            </w:r>
            <w:r w:rsidRPr="00855AFC">
              <w:rPr>
                <w:rFonts w:eastAsia="宋体" w:hint="eastAsia"/>
                <w:bCs/>
                <w:lang w:eastAsia="zh-CN"/>
              </w:rPr>
              <w:t>support</w:t>
            </w:r>
            <w:r w:rsidRPr="00855AFC">
              <w:rPr>
                <w:rFonts w:eastAsia="宋体"/>
                <w:bCs/>
                <w:lang w:eastAsia="zh-CN"/>
              </w:rPr>
              <w:t xml:space="preserve"> for</w:t>
            </w:r>
            <w:r w:rsidRPr="00855AFC">
              <w:rPr>
                <w:rFonts w:eastAsia="宋体" w:hint="eastAsia"/>
                <w:bCs/>
                <w:lang w:eastAsia="zh-CN"/>
              </w:rPr>
              <w:t xml:space="preserve"> the following </w:t>
            </w:r>
            <w:r w:rsidRPr="00855AFC">
              <w:rPr>
                <w:rFonts w:eastAsia="宋体"/>
                <w:bCs/>
                <w:lang w:eastAsia="en-GB"/>
              </w:rPr>
              <w:t>objectives:</w:t>
            </w:r>
          </w:p>
          <w:p w14:paraId="05DA3EA4" w14:textId="4B4E84F7" w:rsidR="00972021" w:rsidRPr="00855AFC" w:rsidRDefault="00855AFC" w:rsidP="00855AFC">
            <w:pPr>
              <w:widowControl w:val="0"/>
              <w:numPr>
                <w:ilvl w:val="0"/>
                <w:numId w:val="22"/>
              </w:numPr>
              <w:overflowPunct w:val="0"/>
              <w:autoSpaceDE w:val="0"/>
              <w:autoSpaceDN w:val="0"/>
              <w:adjustRightInd w:val="0"/>
              <w:spacing w:after="0" w:line="276" w:lineRule="auto"/>
              <w:contextualSpacing/>
              <w:jc w:val="both"/>
              <w:textAlignment w:val="baseline"/>
              <w:rPr>
                <w:rFonts w:eastAsia="Calibri"/>
                <w:lang w:val="en-US" w:eastAsia="zh-CN"/>
              </w:rPr>
            </w:pPr>
            <w:r w:rsidRPr="00855AFC">
              <w:rPr>
                <w:rFonts w:eastAsia="Calibri"/>
                <w:lang w:val="en-US" w:eastAsia="zh-CN"/>
              </w:rPr>
              <w:t>idle mode mobility based on cell reselection from E-UTRA TN to NR NTN, where E-UTRA TN provides satellite information for NR NTN neighbor cells in a System Information Block.</w:t>
            </w:r>
            <w:r w:rsidRPr="00855AFC">
              <w:rPr>
                <w:rFonts w:eastAsia="Calibri" w:hint="eastAsia"/>
                <w:lang w:val="en-US" w:eastAsia="zh-CN"/>
              </w:rPr>
              <w:t xml:space="preserve"> </w:t>
            </w:r>
            <w:r w:rsidRPr="00855AFC">
              <w:rPr>
                <w:rFonts w:eastAsia="Calibri"/>
                <w:lang w:val="en-US" w:eastAsia="zh-CN"/>
              </w:rPr>
              <w:t>[RAN2</w:t>
            </w:r>
            <w:r w:rsidRPr="00855AFC">
              <w:rPr>
                <w:rFonts w:eastAsia="Calibri" w:hint="eastAsia"/>
                <w:lang w:val="en-US" w:eastAsia="zh-CN"/>
              </w:rPr>
              <w:t>]</w:t>
            </w:r>
          </w:p>
        </w:tc>
      </w:tr>
    </w:tbl>
    <w:p w14:paraId="2A27B13F" w14:textId="2149D8DC" w:rsidR="00855AFC" w:rsidRPr="00855AFC" w:rsidRDefault="00855AFC" w:rsidP="009A2386">
      <w:pPr>
        <w:spacing w:before="120" w:after="120" w:line="240" w:lineRule="auto"/>
        <w:jc w:val="both"/>
        <w:rPr>
          <w:b/>
          <w:bCs/>
        </w:rPr>
      </w:pPr>
      <w:r w:rsidRPr="00855AFC">
        <w:rPr>
          <w:b/>
          <w:bCs/>
        </w:rPr>
        <w:t xml:space="preserve">Observation </w:t>
      </w:r>
      <w:r w:rsidR="004B0664">
        <w:rPr>
          <w:b/>
          <w:bCs/>
        </w:rPr>
        <w:t>2</w:t>
      </w:r>
      <w:r w:rsidRPr="00855AFC">
        <w:rPr>
          <w:b/>
          <w:bCs/>
        </w:rPr>
        <w:t xml:space="preserve">: </w:t>
      </w:r>
      <w:r w:rsidR="004B0664">
        <w:rPr>
          <w:b/>
          <w:bCs/>
        </w:rPr>
        <w:t>Any enhancement on redirection from LTE to NR NTN is out of the WID</w:t>
      </w:r>
      <w:r w:rsidRPr="00855AFC">
        <w:rPr>
          <w:b/>
          <w:bCs/>
        </w:rPr>
        <w:t xml:space="preserve">. </w:t>
      </w:r>
    </w:p>
    <w:p w14:paraId="5F2CD697" w14:textId="29F0179D" w:rsidR="007E048F" w:rsidRPr="001C201B" w:rsidRDefault="001B20BF" w:rsidP="00F74E1B">
      <w:pPr>
        <w:spacing w:after="120" w:line="240" w:lineRule="auto"/>
        <w:jc w:val="both"/>
        <w:rPr>
          <w:b/>
          <w:bCs/>
        </w:rPr>
      </w:pPr>
      <w:r w:rsidRPr="001C201B">
        <w:rPr>
          <w:b/>
          <w:bCs/>
        </w:rPr>
        <w:lastRenderedPageBreak/>
        <w:t xml:space="preserve">Proposal </w:t>
      </w:r>
      <w:r w:rsidR="003F321F">
        <w:rPr>
          <w:b/>
          <w:bCs/>
        </w:rPr>
        <w:t>2</w:t>
      </w:r>
      <w:r w:rsidRPr="001C201B">
        <w:rPr>
          <w:b/>
          <w:bCs/>
        </w:rPr>
        <w:t xml:space="preserve">: </w:t>
      </w:r>
      <w:r w:rsidR="004B0664">
        <w:rPr>
          <w:b/>
          <w:bCs/>
        </w:rPr>
        <w:t>No further enhancement to support the further optimization of the redi</w:t>
      </w:r>
      <w:r w:rsidR="00472B16">
        <w:rPr>
          <w:b/>
          <w:bCs/>
        </w:rPr>
        <w:t>r</w:t>
      </w:r>
      <w:r w:rsidR="004B0664">
        <w:rPr>
          <w:b/>
          <w:bCs/>
        </w:rPr>
        <w:t>ection from LTE TN to NR NTN</w:t>
      </w:r>
      <w:r w:rsidR="004F1760">
        <w:rPr>
          <w:b/>
          <w:bCs/>
        </w:rPr>
        <w:t>.</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561C9F07"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redirection issue from LTE TN to NR 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65724BBD" w14:textId="77777777" w:rsidR="004B0664" w:rsidRDefault="004B0664" w:rsidP="004B0664">
      <w:pPr>
        <w:spacing w:after="120" w:line="240" w:lineRule="auto"/>
        <w:jc w:val="both"/>
        <w:rPr>
          <w:b/>
          <w:bCs/>
        </w:rPr>
      </w:pPr>
      <w:r w:rsidRPr="00855AFC">
        <w:rPr>
          <w:b/>
          <w:bCs/>
        </w:rPr>
        <w:t xml:space="preserve">Observation 1: </w:t>
      </w:r>
      <w:r>
        <w:rPr>
          <w:b/>
          <w:bCs/>
        </w:rPr>
        <w:t>Up to implementation, NW to configure the NTN frequency within the redirection information within the RRCConnectionRelease message.</w:t>
      </w:r>
    </w:p>
    <w:p w14:paraId="3C7927F0" w14:textId="77777777" w:rsidR="004B0664" w:rsidRPr="00855AFC" w:rsidRDefault="004B0664" w:rsidP="004B0664">
      <w:pPr>
        <w:spacing w:after="120" w:line="240" w:lineRule="auto"/>
        <w:jc w:val="both"/>
        <w:rPr>
          <w:b/>
          <w:bCs/>
        </w:rPr>
      </w:pPr>
      <w:r w:rsidRPr="00855AFC">
        <w:rPr>
          <w:b/>
          <w:bCs/>
        </w:rPr>
        <w:t xml:space="preserve">Observation </w:t>
      </w:r>
      <w:r>
        <w:rPr>
          <w:b/>
          <w:bCs/>
        </w:rPr>
        <w:t>2</w:t>
      </w:r>
      <w:r w:rsidRPr="00855AFC">
        <w:rPr>
          <w:b/>
          <w:bCs/>
        </w:rPr>
        <w:t xml:space="preserve">: </w:t>
      </w:r>
      <w:r>
        <w:rPr>
          <w:b/>
          <w:bCs/>
        </w:rPr>
        <w:t>Any enhancement on redirection from LTE to NR NTN is out of the WID</w:t>
      </w:r>
      <w:r w:rsidRPr="00855AFC">
        <w:rPr>
          <w:b/>
          <w:bCs/>
        </w:rPr>
        <w:t xml:space="preserve">. </w:t>
      </w:r>
    </w:p>
    <w:p w14:paraId="258D7BE2" w14:textId="77777777" w:rsidR="000226F3" w:rsidRPr="00855AFC" w:rsidRDefault="000226F3" w:rsidP="000226F3">
      <w:pPr>
        <w:spacing w:after="120" w:line="240" w:lineRule="auto"/>
        <w:jc w:val="both"/>
        <w:rPr>
          <w:b/>
          <w:bCs/>
        </w:rPr>
      </w:pPr>
      <w:r>
        <w:rPr>
          <w:b/>
          <w:bCs/>
        </w:rPr>
        <w:t xml:space="preserve">Proposal 1: According to the current spec, redirection from LTE TN to NR NTN is feasible. </w:t>
      </w:r>
    </w:p>
    <w:p w14:paraId="7210847C" w14:textId="299B257C" w:rsidR="004B0664" w:rsidRPr="001C201B" w:rsidRDefault="004B0664" w:rsidP="004B0664">
      <w:pPr>
        <w:spacing w:after="120" w:line="240" w:lineRule="auto"/>
        <w:jc w:val="both"/>
        <w:rPr>
          <w:b/>
          <w:bCs/>
        </w:rPr>
      </w:pPr>
      <w:r w:rsidRPr="001C201B">
        <w:rPr>
          <w:b/>
          <w:bCs/>
        </w:rPr>
        <w:t xml:space="preserve">Proposal </w:t>
      </w:r>
      <w:r>
        <w:rPr>
          <w:b/>
          <w:bCs/>
        </w:rPr>
        <w:t>2</w:t>
      </w:r>
      <w:r w:rsidRPr="001C201B">
        <w:rPr>
          <w:b/>
          <w:bCs/>
        </w:rPr>
        <w:t xml:space="preserve">: </w:t>
      </w:r>
      <w:r>
        <w:rPr>
          <w:b/>
          <w:bCs/>
        </w:rPr>
        <w:t>No further enhancement to support the further optimization of the redi</w:t>
      </w:r>
      <w:r w:rsidR="00BA7B6F">
        <w:rPr>
          <w:b/>
          <w:bCs/>
        </w:rPr>
        <w:t>r</w:t>
      </w:r>
      <w:r>
        <w:rPr>
          <w:b/>
          <w:bCs/>
        </w:rPr>
        <w:t>ection from LTE TN to NR NTN.</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5BDD6EF1" w14:textId="207B6197" w:rsidR="005E4B4D" w:rsidRDefault="005E4B4D"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5E4B4D">
        <w:rPr>
          <w:rFonts w:eastAsia="宋体" w:cs="Arial"/>
          <w:bCs/>
          <w:lang w:eastAsia="zh-CN"/>
        </w:rPr>
        <w:t>R2-2409213</w:t>
      </w:r>
      <w:r>
        <w:rPr>
          <w:rFonts w:eastAsia="宋体" w:cs="Arial"/>
          <w:bCs/>
          <w:lang w:eastAsia="zh-CN"/>
        </w:rPr>
        <w:t xml:space="preserve">, </w:t>
      </w:r>
      <w:r w:rsidRPr="005E4B4D">
        <w:rPr>
          <w:rFonts w:eastAsia="宋体" w:cs="Arial"/>
          <w:bCs/>
          <w:lang w:eastAsia="zh-CN"/>
        </w:rPr>
        <w:t>Report from Break-out session on NR-NTN and IoT-NTN</w:t>
      </w:r>
      <w:r>
        <w:rPr>
          <w:rFonts w:eastAsia="宋体" w:cs="Arial"/>
          <w:bCs/>
          <w:lang w:eastAsia="zh-CN"/>
        </w:rPr>
        <w:t>.</w:t>
      </w:r>
    </w:p>
    <w:p w14:paraId="0CA3F8B6" w14:textId="77777777"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p>
    <w:p w14:paraId="24D1B12F" w14:textId="12E7DDD3" w:rsidR="00D718B4" w:rsidRPr="000226F3" w:rsidRDefault="005E4B4D" w:rsidP="000226F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5E4B4D">
        <w:rPr>
          <w:rFonts w:eastAsia="宋体" w:cs="Arial"/>
          <w:bCs/>
          <w:lang w:eastAsia="zh-CN"/>
        </w:rPr>
        <w:t>RP-240924</w:t>
      </w:r>
      <w:r w:rsidR="001923B2" w:rsidRPr="00990849">
        <w:rPr>
          <w:rFonts w:eastAsia="宋体" w:cs="Arial"/>
          <w:bCs/>
          <w:lang w:eastAsia="zh-CN"/>
        </w:rPr>
        <w:t xml:space="preserve">, </w:t>
      </w:r>
      <w:r w:rsidRPr="005E4B4D">
        <w:rPr>
          <w:rFonts w:eastAsia="宋体" w:cs="Arial"/>
          <w:bCs/>
          <w:lang w:eastAsia="zh-CN"/>
        </w:rPr>
        <w:t>Revised WID: Inter RAT mobility support from E-UTRAN TN to NR-NTN</w:t>
      </w:r>
      <w:r w:rsidR="001923B2" w:rsidRPr="00990849">
        <w:rPr>
          <w:rFonts w:eastAsia="宋体" w:cs="Arial"/>
          <w:bCs/>
          <w:lang w:eastAsia="zh-CN"/>
        </w:rPr>
        <w:t>.</w:t>
      </w:r>
    </w:p>
    <w:sectPr w:rsidR="00D718B4" w:rsidRPr="000226F3">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09305" w14:textId="77777777" w:rsidR="009850A2" w:rsidRDefault="009850A2">
      <w:pPr>
        <w:spacing w:after="0" w:line="240" w:lineRule="auto"/>
      </w:pPr>
      <w:r>
        <w:separator/>
      </w:r>
    </w:p>
  </w:endnote>
  <w:endnote w:type="continuationSeparator" w:id="0">
    <w:p w14:paraId="75580803" w14:textId="77777777" w:rsidR="009850A2" w:rsidRDefault="009850A2">
      <w:pPr>
        <w:spacing w:after="0" w:line="240" w:lineRule="auto"/>
      </w:pPr>
      <w:r>
        <w:continuationSeparator/>
      </w:r>
    </w:p>
  </w:endnote>
  <w:endnote w:type="continuationNotice" w:id="1">
    <w:p w14:paraId="0480B01A" w14:textId="77777777" w:rsidR="009850A2" w:rsidRDefault="009850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7CF70" w14:textId="77777777" w:rsidR="009850A2" w:rsidRDefault="009850A2">
      <w:pPr>
        <w:spacing w:after="0" w:line="240" w:lineRule="auto"/>
      </w:pPr>
      <w:r>
        <w:separator/>
      </w:r>
    </w:p>
  </w:footnote>
  <w:footnote w:type="continuationSeparator" w:id="0">
    <w:p w14:paraId="0CA6411E" w14:textId="77777777" w:rsidR="009850A2" w:rsidRDefault="009850A2">
      <w:pPr>
        <w:spacing w:after="0" w:line="240" w:lineRule="auto"/>
      </w:pPr>
      <w:r>
        <w:continuationSeparator/>
      </w:r>
    </w:p>
  </w:footnote>
  <w:footnote w:type="continuationNotice" w:id="1">
    <w:p w14:paraId="29E1E0D3" w14:textId="77777777" w:rsidR="009850A2" w:rsidRDefault="009850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9"/>
  </w:num>
  <w:num w:numId="3">
    <w:abstractNumId w:val="0"/>
  </w:num>
  <w:num w:numId="4">
    <w:abstractNumId w:val="8"/>
  </w:num>
  <w:num w:numId="5">
    <w:abstractNumId w:val="5"/>
  </w:num>
  <w:num w:numId="6">
    <w:abstractNumId w:val="18"/>
  </w:num>
  <w:num w:numId="7">
    <w:abstractNumId w:val="23"/>
  </w:num>
  <w:num w:numId="8">
    <w:abstractNumId w:val="15"/>
  </w:num>
  <w:num w:numId="9">
    <w:abstractNumId w:val="14"/>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16"/>
  </w:num>
  <w:num w:numId="19">
    <w:abstractNumId w:val="12"/>
  </w:num>
  <w:num w:numId="20">
    <w:abstractNumId w:val="22"/>
  </w:num>
  <w:num w:numId="21">
    <w:abstractNumId w:val="26"/>
  </w:num>
  <w:num w:numId="22">
    <w:abstractNumId w:val="9"/>
  </w:num>
  <w:num w:numId="23">
    <w:abstractNumId w:val="20"/>
  </w:num>
  <w:num w:numId="24">
    <w:abstractNumId w:val="2"/>
  </w:num>
  <w:num w:numId="25">
    <w:abstractNumId w:val="1"/>
  </w:num>
  <w:num w:numId="26">
    <w:abstractNumId w:val="10"/>
  </w:num>
  <w:num w:numId="27">
    <w:abstractNumId w:val="11"/>
  </w:num>
  <w:num w:numId="28">
    <w:abstractNumId w:val="3"/>
  </w:num>
  <w:num w:numId="29">
    <w:abstractNumId w:val="17"/>
  </w:num>
  <w:num w:numId="30">
    <w:abstractNumId w:val="6"/>
  </w:num>
  <w:num w:numId="31">
    <w:abstractNumId w:val="21"/>
  </w:num>
  <w:num w:numId="32">
    <w:abstractNumId w:val="7"/>
  </w:num>
  <w:num w:numId="33">
    <w:abstractNumId w:val="4"/>
  </w:num>
  <w:num w:numId="34">
    <w:abstractNumId w:val="25"/>
  </w:num>
  <w:num w:numId="35">
    <w:abstractNumId w:val="1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o:colormru v:ext="edit" colors="#cae6c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oBQBZAtC7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cae6ca"/>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http://schemas.openxmlformats.org/package/2006/metadata/core-properties"/>
    <ds:schemaRef ds:uri="98194d48-cc26-4b7e-909f-baa95c83abfa"/>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purl.org/dc/dcmitype/"/>
    <ds:schemaRef ds:uri="1c248485-b98a-4513-a581-ff7cb1688d78"/>
    <ds:schemaRef ds:uri="http://www.w3.org/XML/1998/namespace"/>
  </ds:schemaRefs>
</ds:datastoreItem>
</file>

<file path=customXml/itemProps4.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9D64FA-F71E-412E-8195-FF211200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3409</Characters>
  <Application>Microsoft Office Word</Application>
  <DocSecurity>0</DocSecurity>
  <Lines>28</Lines>
  <Paragraphs>7</Paragraphs>
  <ScaleCrop>false</ScaleCrop>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2024-11-08T09:52:00Z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